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关于进一步做好实验室安全工作的通知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于今年7月至9月三次进行了实验室安全工作专项检查，专家组主要通过查、看、问等方式，对各学院（部）实验室（馆）进行了全面认真的检查，并在检查及反馈过程中提出了具体的整改要求，各单位积极响应、认真整改，有力的促进了实验室安全工作的开展，改善成效显著。</w:t>
      </w:r>
    </w:p>
    <w:p>
      <w:pPr>
        <w:widowControl/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近期省教育厅下发了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  <w:t>《省教育厅办公室关于开展高校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危险化学品管理与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  <w:t>科研实验室安全检查的通知》（苏教办科函〔2017〕1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将于10月12日对学校进行危险化学品与科研实验室专项检查。</w:t>
      </w:r>
    </w:p>
    <w:p>
      <w:pPr>
        <w:widowControl/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请各单位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  <w:t>按照“全覆盖、零容忍、严执法、重实效”的要求，重点对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危险化学品管理使用及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  <w:t>科研实验室安全监管责任体系和长效工作机制，提升安全工作的规范性和有效性，强化安全风险防控意识和能力，有效预防和坚决遏制重特大事故发生，确保师生安全和校园稳定。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同时请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  <w:t>对照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高校危险化学品安全检查对照表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instrText xml:space="preserve"> HYPERLINK "http://www.ec.js.edu.cn/module/download/downfile.jsp?classid=0&amp;filename=1709081128366062637.doc" </w:instrTex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高校实验室安全检查项目表（2017）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  <w:t>》以及前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  <w:t>次检查整改要求，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进一步提高对危险化学品与科研实验室安全工作的认识，完善管理制度，健全工作机制，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  <w:t>积极落实专项检查的每一个细节，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全面提升危险化学品与科研实验室安全管理水平。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  <w:t>以最完美的状态迎接省专家组的检查。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请各单位于9月30日之前将自查报告交于设备与实验室管理处307室，联系人：王蓉蓉，联系电话83591057。</w:t>
      </w:r>
    </w:p>
    <w:p>
      <w:pPr>
        <w:ind w:left="2238" w:leftChars="304" w:hanging="1600" w:hangingChars="500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  <w:t>省教育厅办公室关于开展高校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危险化学品管与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</w:rPr>
        <w:t>科研实验室安全检查的通知</w:t>
      </w:r>
    </w:p>
    <w:p>
      <w:pPr>
        <w:ind w:firstLine="1600" w:firstLineChars="500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2.高校危险化学品安全检查对照表</w:t>
      </w: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instrText xml:space="preserve"> HYPERLINK "http://www.ec.js.edu.cn/module/download/downfile.jsp?classid=0&amp;filename=1709081128366062637.doc" </w:instrTex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高校实验室安全检查项目表（2017）</w:t>
      </w: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 xml:space="preserve">                          教务处、保卫处、总务处、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科技产业处、设备与实验室管理处</w:t>
      </w:r>
    </w:p>
    <w:p>
      <w:pPr>
        <w:numPr>
          <w:ilvl w:val="0"/>
          <w:numId w:val="0"/>
        </w:numPr>
        <w:ind w:firstLine="4480" w:firstLineChars="1400"/>
        <w:jc w:val="right"/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01010"/>
          <w:kern w:val="0"/>
          <w:sz w:val="32"/>
          <w:szCs w:val="32"/>
          <w:lang w:val="en-US" w:eastAsia="zh-CN"/>
        </w:rPr>
        <w:t>2017年9月28日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D1A9A"/>
    <w:rsid w:val="480A1E1A"/>
    <w:rsid w:val="4F7D1A9A"/>
    <w:rsid w:val="7ED82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2017-09-28T01:30:00Z</dcterms:created>
  <dc:creator>lenovo</dc:creator>
  <cp:lastModifiedBy>lenovo</cp:lastModifiedBy>
  <cp:lastPrinted>2017-09-28T03:22:00Z</cp:lastPrinted>
  <dcterms:modified xsi:type="dcterms:W3CDTF">2017-09-28T03:43:52Z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